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3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</w:t>
      </w:r>
      <w:r>
        <w:br/>
      </w:r>
      <w:r>
        <w:t xml:space="preserve">Информационная безопасность</w:t>
      </w:r>
    </w:p>
    <w:p>
      <w:pPr>
        <w:pStyle w:val="Subtitle"/>
      </w:pPr>
      <w:r>
        <w:t xml:space="preserve">Настройка рабочего пространства и конфигурация операционной системы на виртуальную машину.</w:t>
      </w:r>
    </w:p>
    <w:p>
      <w:pPr>
        <w:pStyle w:val="Author"/>
      </w:pPr>
      <w:r>
        <w:t xml:space="preserve">Кармацкий Никита Сергеевич,</w:t>
      </w:r>
      <w:r>
        <w:br/>
      </w:r>
      <w:r>
        <w:t xml:space="preserve">НФИбд-01-21, 1032210061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Настроить рабочее пространство для лабораторных работ, приобрести практические навыки установки операционной системы на виртуальную машину и настройки минимально необходимых для дальнейшей работы сервисов.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rPr>
          <w:b/>
          <w:bCs/>
        </w:rPr>
        <w:t xml:space="preserve">Oracle VM VirtualBox</w:t>
      </w:r>
      <w:r>
        <w:t xml:space="preserve"> </w:t>
      </w:r>
      <w:r>
        <w:t xml:space="preserve">— это мощная и бесплатная виртуализационная платформа, разработанная корпорацией Oracle, которая позволяет пользователям создавать и управлять виртуальными машинами на своих компьютерах. [1]</w:t>
      </w:r>
    </w:p>
    <w:p>
      <w:pPr>
        <w:pStyle w:val="BodyText"/>
      </w:pPr>
      <w:r>
        <w:rPr>
          <w:b/>
          <w:bCs/>
        </w:rPr>
        <w:t xml:space="preserve">VMware Fusion</w:t>
      </w:r>
      <w:r>
        <w:t xml:space="preserve"> </w:t>
      </w:r>
      <w:r>
        <w:t xml:space="preserve">— гипервизор, позволяющий в среде macOS на базе платформы Intel и AppleSilicon создавать и запускать виртуальные машины, предоставляющие возможность запускать приложения, разработанные для других операционных систем, в том числе Windows и Linux. Поддерживаются как 32-разрядные, так и 64-разрядные версии ОС.</w:t>
      </w:r>
    </w:p>
    <w:bookmarkEnd w:id="21"/>
    <w:bookmarkStart w:id="8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81" w:name="Xd300e101f035699741e428a402fa882e2bd8c60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Установка и конфигурация операционной системы на виртуальную машину</w:t>
      </w:r>
    </w:p>
    <w:bookmarkStart w:id="62" w:name="vmware-fusion"/>
    <w:p>
      <w:pPr>
        <w:pStyle w:val="Heading3"/>
      </w:pPr>
      <w:r>
        <w:rPr>
          <w:rStyle w:val="SectionNumber"/>
        </w:rPr>
        <w:t xml:space="preserve">3.1.1</w:t>
      </w:r>
      <w:r>
        <w:tab/>
      </w:r>
      <w:r>
        <w:t xml:space="preserve">VMware Fusion</w:t>
      </w:r>
    </w:p>
    <w:p>
      <w:pPr>
        <w:pStyle w:val="FirstParagraph"/>
      </w:pPr>
      <w:r>
        <w:t xml:space="preserve">Выбор этого гипервизоры был основан на том факте, что VirtualBox до сих пор Beta на процессарах</w:t>
      </w:r>
      <w:r>
        <w:t xml:space="preserve"> </w:t>
      </w:r>
      <w:r>
        <w:rPr>
          <w:i/>
          <w:iCs/>
        </w:rPr>
        <w:t xml:space="preserve">M</w:t>
      </w:r>
      <w:r>
        <w:t xml:space="preserve"> </w:t>
      </w:r>
      <w:r>
        <w:t xml:space="preserve">серии от Apple и не хочет устанавливать и создавать машины)</w:t>
      </w:r>
    </w:p>
    <w:bookmarkStart w:id="25" w:name="fig:001"/>
    <w:p>
      <w:pPr>
        <w:pStyle w:val="CaptionedFigure"/>
      </w:pPr>
      <w:r>
        <w:drawing>
          <wp:inline>
            <wp:extent cx="5334000" cy="4415073"/>
            <wp:effectExtent b="0" l="0" r="0" t="0"/>
            <wp:docPr descr="Рис. 1: (рис. 1. Имя ОС, Размер пямяти и число процессоров)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15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(рис. 1. Имя ОС, Размер пямяти и число процессоров)</w:t>
      </w:r>
    </w:p>
    <w:bookmarkEnd w:id="25"/>
    <w:bookmarkStart w:id="29" w:name="fig:002"/>
    <w:p>
      <w:pPr>
        <w:pStyle w:val="CaptionedFigure"/>
      </w:pPr>
      <w:r>
        <w:drawing>
          <wp:inline>
            <wp:extent cx="5334000" cy="3476901"/>
            <wp:effectExtent b="0" l="0" r="0" t="0"/>
            <wp:docPr descr="Рис. 2: (рис. 2. Виртуальный жесткий диск)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6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(рис. 2. Виртуальный жесткий диск)</w:t>
      </w:r>
    </w:p>
    <w:bookmarkEnd w:id="29"/>
    <w:bookmarkStart w:id="33" w:name="fig:003"/>
    <w:p>
      <w:pPr>
        <w:pStyle w:val="CaptionedFigure"/>
      </w:pPr>
      <w:r>
        <w:drawing>
          <wp:inline>
            <wp:extent cx="5334000" cy="4269811"/>
            <wp:effectExtent b="0" l="0" r="0" t="0"/>
            <wp:docPr descr="Рис. 3: (рис. 3. Запуск)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9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(рис. 3. Запуск)</w:t>
      </w:r>
    </w:p>
    <w:bookmarkEnd w:id="33"/>
    <w:bookmarkStart w:id="37" w:name="fig:004"/>
    <w:p>
      <w:pPr>
        <w:pStyle w:val="CaptionedFigure"/>
      </w:pPr>
      <w:r>
        <w:drawing>
          <wp:inline>
            <wp:extent cx="5334000" cy="3526132"/>
            <wp:effectExtent b="0" l="0" r="0" t="0"/>
            <wp:docPr descr="Рис. 4: (рис. 4. Стартовое меню установки)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6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(рис. 4. Стартовое меню установки)</w:t>
      </w:r>
    </w:p>
    <w:bookmarkEnd w:id="37"/>
    <w:bookmarkStart w:id="41" w:name="fig:05"/>
    <w:p>
      <w:pPr>
        <w:pStyle w:val="CaptionedFigure"/>
      </w:pPr>
      <w:r>
        <w:drawing>
          <wp:inline>
            <wp:extent cx="2724016" cy="946372"/>
            <wp:effectExtent b="0" l="0" r="0" t="0"/>
            <wp:docPr descr="Рис. 5: (рис. 5. Клавиатура)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016" cy="946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(рис. 5. Клавиатура)</w:t>
      </w:r>
    </w:p>
    <w:bookmarkEnd w:id="41"/>
    <w:bookmarkStart w:id="45" w:name="fig:006"/>
    <w:p>
      <w:pPr>
        <w:pStyle w:val="CaptionedFigure"/>
      </w:pPr>
      <w:r>
        <w:drawing>
          <wp:inline>
            <wp:extent cx="5334000" cy="2093248"/>
            <wp:effectExtent b="0" l="0" r="0" t="0"/>
            <wp:docPr descr="Рис. 6: (рис. 6. Установка Root пароля)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3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(рис. 6. Установка Root пароля)</w:t>
      </w:r>
    </w:p>
    <w:bookmarkEnd w:id="45"/>
    <w:bookmarkStart w:id="49" w:name="fig:007"/>
    <w:p>
      <w:pPr>
        <w:pStyle w:val="CaptionedFigure"/>
      </w:pPr>
      <w:r>
        <w:drawing>
          <wp:inline>
            <wp:extent cx="5334000" cy="2428319"/>
            <wp:effectExtent b="0" l="0" r="0" t="0"/>
            <wp:docPr descr="Рис. 7: (рис. 7. Создание пользователя)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83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(рис. 7. Создание пользователя)</w:t>
      </w:r>
    </w:p>
    <w:bookmarkEnd w:id="49"/>
    <w:bookmarkStart w:id="53" w:name="fig:08"/>
    <w:p>
      <w:pPr>
        <w:pStyle w:val="CaptionedFigure"/>
      </w:pPr>
      <w:r>
        <w:drawing>
          <wp:inline>
            <wp:extent cx="5334000" cy="2245894"/>
            <wp:effectExtent b="0" l="0" r="0" t="0"/>
            <wp:docPr descr="Рис. 8: (рис. 8. Отключение KDUMP)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5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(рис. 8. Отключение KDUMP)</w:t>
      </w:r>
    </w:p>
    <w:bookmarkEnd w:id="53"/>
    <w:bookmarkStart w:id="57" w:name="fig:09"/>
    <w:p>
      <w:pPr>
        <w:pStyle w:val="CaptionedFigure"/>
      </w:pPr>
      <w:r>
        <w:drawing>
          <wp:inline>
            <wp:extent cx="5334000" cy="4531843"/>
            <wp:effectExtent b="0" l="0" r="0" t="0"/>
            <wp:docPr descr="Рис. 9: (рис. 9. Обновление прааметров Ethernet)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18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(рис. 9. Обновление прааметров Ethernet)</w:t>
      </w:r>
    </w:p>
    <w:bookmarkEnd w:id="57"/>
    <w:bookmarkStart w:id="61" w:name="fig:010"/>
    <w:p>
      <w:pPr>
        <w:pStyle w:val="CaptionedFigure"/>
      </w:pPr>
      <w:r>
        <w:drawing>
          <wp:inline>
            <wp:extent cx="5334000" cy="4254867"/>
            <wp:effectExtent b="0" l="0" r="0" t="0"/>
            <wp:docPr descr="Рис. 10: (рис. 10. Установки системы)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4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(рис. 10. Установки системы)</w:t>
      </w:r>
    </w:p>
    <w:bookmarkEnd w:id="61"/>
    <w:bookmarkEnd w:id="62"/>
    <w:bookmarkStart w:id="67" w:name="переход-в-ос-linux"/>
    <w:p>
      <w:pPr>
        <w:pStyle w:val="Heading3"/>
      </w:pPr>
      <w:r>
        <w:rPr>
          <w:rStyle w:val="SectionNumber"/>
        </w:rPr>
        <w:t xml:space="preserve">3.1.2</w:t>
      </w:r>
      <w:r>
        <w:tab/>
      </w:r>
      <w:r>
        <w:t xml:space="preserve">Переход в ОС Linux</w:t>
      </w:r>
    </w:p>
    <w:bookmarkStart w:id="66" w:name="fig:011"/>
    <w:p>
      <w:pPr>
        <w:pStyle w:val="CaptionedFigure"/>
      </w:pPr>
      <w:r>
        <w:drawing>
          <wp:inline>
            <wp:extent cx="5334000" cy="4958861"/>
            <wp:effectExtent b="0" l="0" r="0" t="0"/>
            <wp:docPr descr="Рис. 11: (рис. 11. Вход в систему)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58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(рис. 11. Вход в систему)</w:t>
      </w:r>
    </w:p>
    <w:bookmarkEnd w:id="66"/>
    <w:bookmarkEnd w:id="67"/>
    <w:bookmarkStart w:id="80" w:name="домашнее-задание"/>
    <w:p>
      <w:pPr>
        <w:pStyle w:val="Heading3"/>
      </w:pPr>
      <w:r>
        <w:rPr>
          <w:rStyle w:val="SectionNumber"/>
        </w:rPr>
        <w:t xml:space="preserve">3.1.3</w:t>
      </w:r>
      <w:r>
        <w:tab/>
      </w:r>
      <w:r>
        <w:t xml:space="preserve">Домашнее задание</w:t>
      </w:r>
    </w:p>
    <w:bookmarkStart w:id="71" w:name="fig:012"/>
    <w:p>
      <w:pPr>
        <w:pStyle w:val="CaptionedFigure"/>
      </w:pPr>
      <w:r>
        <w:drawing>
          <wp:inline>
            <wp:extent cx="5334000" cy="3824767"/>
            <wp:effectExtent b="0" l="0" r="0" t="0"/>
            <wp:docPr descr="Рис. 12: (рис. 12. dmesg | less)" title="" id="69" name="Picture"/>
            <a:graphic>
              <a:graphicData uri="http://schemas.openxmlformats.org/drawingml/2006/picture">
                <pic:pic>
                  <pic:nvPicPr>
                    <pic:cNvPr descr="image/12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4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(рис. 12. dmesg | less)</w:t>
      </w:r>
    </w:p>
    <w:bookmarkEnd w:id="71"/>
    <w:bookmarkStart w:id="75" w:name="fig:013"/>
    <w:p>
      <w:pPr>
        <w:pStyle w:val="CaptionedFigure"/>
      </w:pPr>
      <w:r>
        <w:drawing>
          <wp:inline>
            <wp:extent cx="5334000" cy="3093088"/>
            <wp:effectExtent b="0" l="0" r="0" t="0"/>
            <wp:docPr descr="Рис. 13: (рис. 13. Объем доступной оперативной памяти, версия ядра линукс, частота процессора, модель процессора, тип файловой системы корневого раздела )" title="" id="73" name="Picture"/>
            <a:graphic>
              <a:graphicData uri="http://schemas.openxmlformats.org/drawingml/2006/picture">
                <pic:pic>
                  <pic:nvPicPr>
                    <pic:cNvPr descr="image/13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(рис. 13. Объем доступной оперативной памяти, версия ядра линукс, частота процессора, модель процессора, тип файловой системы корневого раздела )</w:t>
      </w:r>
    </w:p>
    <w:bookmarkEnd w:id="75"/>
    <w:bookmarkStart w:id="79" w:name="fig:014"/>
    <w:p>
      <w:pPr>
        <w:pStyle w:val="CaptionedFigure"/>
      </w:pPr>
      <w:r>
        <w:drawing>
          <wp:inline>
            <wp:extent cx="5334000" cy="1479249"/>
            <wp:effectExtent b="0" l="0" r="0" t="0"/>
            <wp:docPr descr="Рис. 14: (рис. 14. Последовательность монтирования файловых систем)" title="" id="77" name="Picture"/>
            <a:graphic>
              <a:graphicData uri="http://schemas.openxmlformats.org/drawingml/2006/picture">
                <pic:pic>
                  <pic:nvPicPr>
                    <pic:cNvPr descr="image/14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9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(рис. 14. Последовательность монтирования файловых систем)</w:t>
      </w:r>
    </w:p>
    <w:bookmarkEnd w:id="79"/>
    <w:bookmarkEnd w:id="80"/>
    <w:bookmarkEnd w:id="81"/>
    <w:bookmarkEnd w:id="82"/>
    <w:bookmarkStart w:id="83" w:name="вывод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</w:t>
      </w:r>
    </w:p>
    <w:p>
      <w:pPr>
        <w:pStyle w:val="FirstParagraph"/>
      </w:pPr>
      <w:r>
        <w:t xml:space="preserve">Были настроено рабочее пространство для лабораторных работ, приобретены практические навыки</w:t>
      </w:r>
      <w:r>
        <w:t xml:space="preserve"> </w:t>
      </w:r>
      <w:r>
        <w:t xml:space="preserve">установки операционной системы на виртуальную машину и настройки минимально необходимых для дальнейшей работы сервисов.</w:t>
      </w:r>
    </w:p>
    <w:bookmarkEnd w:id="83"/>
    <w:bookmarkStart w:id="84" w:name="список-литературы.-библиография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Список литературы. Библиография</w:t>
      </w:r>
    </w:p>
    <w:p>
      <w:pPr>
        <w:pStyle w:val="FirstParagraph"/>
      </w:pPr>
      <w:r>
        <w:t xml:space="preserve">[1] Документация по Virtual Box: https://www.virtualbox.org/wiki/Documentation</w:t>
      </w:r>
    </w:p>
    <w:p>
      <w:pPr>
        <w:pStyle w:val="BodyText"/>
      </w:pPr>
      <w:r>
        <w:t xml:space="preserve">[2] Документация по VMware Fusion: https://www.vmware.com/products/desktop-hypervisor/workstation-and-fusion</w:t>
      </w:r>
    </w:p>
    <w:bookmarkEnd w:id="8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3" Target="media/rId63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 Информационная безопасность</dc:title>
  <dc:creator>Кармацкий Никита Сергеевич, НФИбд-01-21, 1032210061</dc:creator>
  <dc:language>ru-RU</dc:language>
  <cp:keywords/>
  <dcterms:created xsi:type="dcterms:W3CDTF">2024-09-06T20:08:42Z</dcterms:created>
  <dcterms:modified xsi:type="dcterms:W3CDTF">2024-09-06T20:08:42Z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9pt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ItemTemplate">
    <vt:lpwstr>lotItemTitleilistItemTitleDelimt </vt:lpwstr>
  </property>
  <property fmtid="{D5CDD505-2E9C-101B-9397-08002B2CF9AE}" pid="52" name="lotItemTitle">
    <vt:lpwstr/>
  </property>
  <property fmtid="{D5CDD505-2E9C-101B-9397-08002B2CF9AE}" pid="53" name="lotTitle">
    <vt:lpwstr>List of Tables</vt:lpwstr>
  </property>
  <property fmtid="{D5CDD505-2E9C-101B-9397-08002B2CF9AE}" pid="54" name="lstLabels">
    <vt:lpwstr>arabic</vt:lpwstr>
  </property>
  <property fmtid="{D5CDD505-2E9C-101B-9397-08002B2CF9AE}" pid="55" name="lstPrefix">
    <vt:lpwstr/>
  </property>
  <property fmtid="{D5CDD505-2E9C-101B-9397-08002B2CF9AE}" pid="56" name="lstPrefixTemplate">
    <vt:lpwstr>p i</vt:lpwstr>
  </property>
  <property fmtid="{D5CDD505-2E9C-101B-9397-08002B2CF9AE}" pid="57" name="mainfont">
    <vt:lpwstr>PT Serif</vt:lpwstr>
  </property>
  <property fmtid="{D5CDD505-2E9C-101B-9397-08002B2CF9AE}" pid="58" name="mainfontoptions">
    <vt:lpwstr>Ligatures=TeX</vt:lpwstr>
  </property>
  <property fmtid="{D5CDD505-2E9C-101B-9397-08002B2CF9AE}" pid="59" name="monofont">
    <vt:lpwstr>PT Mono</vt:lpwstr>
  </property>
  <property fmtid="{D5CDD505-2E9C-101B-9397-08002B2CF9AE}" pid="60" name="monofontoptions">
    <vt:lpwstr>Scale=MatchLowercase,Scale=0.6</vt:lpwstr>
  </property>
  <property fmtid="{D5CDD505-2E9C-101B-9397-08002B2CF9AE}" pid="61" name="nameInLink">
    <vt:lpwstr>False</vt:lpwstr>
  </property>
  <property fmtid="{D5CDD505-2E9C-101B-9397-08002B2CF9AE}" pid="62" name="numberSections">
    <vt:lpwstr>False</vt:lpwstr>
  </property>
  <property fmtid="{D5CDD505-2E9C-101B-9397-08002B2CF9AE}" pid="63" name="pairDelim">
    <vt:lpwstr>, </vt:lpwstr>
  </property>
  <property fmtid="{D5CDD505-2E9C-101B-9397-08002B2CF9AE}" pid="64" name="papersize">
    <vt:lpwstr>a4</vt:lpwstr>
  </property>
  <property fmtid="{D5CDD505-2E9C-101B-9397-08002B2CF9AE}" pid="65" name="polyglossia-lang">
    <vt:lpwstr/>
  </property>
  <property fmtid="{D5CDD505-2E9C-101B-9397-08002B2CF9AE}" pid="66" name="polyglossia-otherlangs">
    <vt:lpwstr/>
  </property>
  <property fmtid="{D5CDD505-2E9C-101B-9397-08002B2CF9AE}" pid="67" name="rangeDelim">
    <vt:lpwstr>-</vt:lpwstr>
  </property>
  <property fmtid="{D5CDD505-2E9C-101B-9397-08002B2CF9AE}" pid="68" name="refDelim">
    <vt:lpwstr>, </vt:lpwstr>
  </property>
  <property fmtid="{D5CDD505-2E9C-101B-9397-08002B2CF9AE}" pid="69" name="refIndexTemplate">
    <vt:lpwstr>isuf</vt:lpwstr>
  </property>
  <property fmtid="{D5CDD505-2E9C-101B-9397-08002B2CF9AE}" pid="70" name="romanfont">
    <vt:lpwstr>PT Serif</vt:lpwstr>
  </property>
  <property fmtid="{D5CDD505-2E9C-101B-9397-08002B2CF9AE}" pid="71" name="romanfontoptions">
    <vt:lpwstr>Ligatures=TeX</vt:lpwstr>
  </property>
  <property fmtid="{D5CDD505-2E9C-101B-9397-08002B2CF9AE}" pid="72" name="sansfont">
    <vt:lpwstr>PT Sans</vt:lpwstr>
  </property>
  <property fmtid="{D5CDD505-2E9C-101B-9397-08002B2CF9AE}" pid="73" name="sansfontoptions">
    <vt:lpwstr>Ligatures=TeX,Scale=MatchLowercase</vt:lpwstr>
  </property>
  <property fmtid="{D5CDD505-2E9C-101B-9397-08002B2CF9AE}" pid="74" name="secHeaderDelim">
    <vt:lpwstr> </vt:lpwstr>
  </property>
  <property fmtid="{D5CDD505-2E9C-101B-9397-08002B2CF9AE}" pid="75" name="secHeaderTemplate">
    <vt:lpwstr>isecHeaderDelim[n]t</vt:lpwstr>
  </property>
  <property fmtid="{D5CDD505-2E9C-101B-9397-08002B2CF9AE}" pid="76" name="secLabels">
    <vt:lpwstr>arabic</vt:lpwstr>
  </property>
  <property fmtid="{D5CDD505-2E9C-101B-9397-08002B2CF9AE}" pid="77" name="secPrefix">
    <vt:lpwstr/>
  </property>
  <property fmtid="{D5CDD505-2E9C-101B-9397-08002B2CF9AE}" pid="78" name="secPrefixTemplate">
    <vt:lpwstr>p i</vt:lpwstr>
  </property>
  <property fmtid="{D5CDD505-2E9C-101B-9397-08002B2CF9AE}" pid="79" name="sectionsDepth">
    <vt:lpwstr>0</vt:lpwstr>
  </property>
  <property fmtid="{D5CDD505-2E9C-101B-9397-08002B2CF9AE}" pid="80" name="subfigGrid">
    <vt:lpwstr>False</vt:lpwstr>
  </property>
  <property fmtid="{D5CDD505-2E9C-101B-9397-08002B2CF9AE}" pid="81" name="subfigLabels">
    <vt:lpwstr>alpha a</vt:lpwstr>
  </property>
  <property fmtid="{D5CDD505-2E9C-101B-9397-08002B2CF9AE}" pid="82" name="subfigureChildTemplate">
    <vt:lpwstr>i</vt:lpwstr>
  </property>
  <property fmtid="{D5CDD505-2E9C-101B-9397-08002B2CF9AE}" pid="83" name="subfigureRefIndexTemplate">
    <vt:lpwstr>isuf (s)</vt:lpwstr>
  </property>
  <property fmtid="{D5CDD505-2E9C-101B-9397-08002B2CF9AE}" pid="84" name="subfigureTemplate">
    <vt:lpwstr>figureTitle ititleDelim t. ccs</vt:lpwstr>
  </property>
  <property fmtid="{D5CDD505-2E9C-101B-9397-08002B2CF9AE}" pid="85" name="subtitle">
    <vt:lpwstr>Настройка рабочего пространства и конфигурация операционной системы на виртуальную машину.</vt:lpwstr>
  </property>
  <property fmtid="{D5CDD505-2E9C-101B-9397-08002B2CF9AE}" pid="86" name="tableEqns">
    <vt:lpwstr>False</vt:lpwstr>
  </property>
  <property fmtid="{D5CDD505-2E9C-101B-9397-08002B2CF9AE}" pid="87" name="tableTemplate">
    <vt:lpwstr>tableTitle ititleDelim t</vt:lpwstr>
  </property>
  <property fmtid="{D5CDD505-2E9C-101B-9397-08002B2CF9AE}" pid="88" name="tableTitle">
    <vt:lpwstr>Таблица</vt:lpwstr>
  </property>
  <property fmtid="{D5CDD505-2E9C-101B-9397-08002B2CF9AE}" pid="89" name="tblLabels">
    <vt:lpwstr>arabic</vt:lpwstr>
  </property>
  <property fmtid="{D5CDD505-2E9C-101B-9397-08002B2CF9AE}" pid="90" name="tblPrefix">
    <vt:lpwstr/>
  </property>
  <property fmtid="{D5CDD505-2E9C-101B-9397-08002B2CF9AE}" pid="91" name="tblPrefixTemplate">
    <vt:lpwstr>p i</vt:lpwstr>
  </property>
  <property fmtid="{D5CDD505-2E9C-101B-9397-08002B2CF9AE}" pid="92" name="titleDelim">
    <vt:lpwstr>:</vt:lpwstr>
  </property>
  <property fmtid="{D5CDD505-2E9C-101B-9397-08002B2CF9AE}" pid="93" name="toc">
    <vt:lpwstr>True</vt:lpwstr>
  </property>
  <property fmtid="{D5CDD505-2E9C-101B-9397-08002B2CF9AE}" pid="94" name="toc-depth">
    <vt:lpwstr>2</vt:lpwstr>
  </property>
  <property fmtid="{D5CDD505-2E9C-101B-9397-08002B2CF9AE}" pid="95" name="toc-title">
    <vt:lpwstr>Содержание</vt:lpwstr>
  </property>
</Properties>
</file>